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8"/>
        <w:shd w:val="clear" w:color="auto" w:fill="ffffff"/>
        <w:tabs>
          <w:tab w:val="clear" w:pos="720" w:leader="none"/>
          <w:tab w:val="left" w:pos="15024" w:leader="none"/>
        </w:tabs>
        <w:jc w:val="right"/>
        <w:rPr>
          <w:highlight w:val="none"/>
          <w:shd w:val="clear" w:color="auto" w:fill="auto"/>
        </w:rPr>
      </w:pPr>
      <w:r>
        <w:rPr>
          <w:b/>
          <w:bCs/>
          <w:color w:val="000000"/>
          <w:spacing w:val="-4"/>
          <w:sz w:val="29"/>
          <w:szCs w:val="29"/>
          <w:shd w:val="clear" w:color="auto" w:fill="auto"/>
        </w:rPr>
        <w:t xml:space="preserve">                                                                                                            </w:t>
      </w:r>
      <w:r>
        <w:rPr>
          <w:iCs/>
          <w:sz w:val="26"/>
          <w:szCs w:val="26"/>
          <w:shd w:val="clear" w:color="auto" w:fill="auto"/>
        </w:rPr>
        <w:t xml:space="preserve">Приложение № 3 к Договору </w:t>
      </w:r>
      <w:r>
        <w:rPr>
          <w:highlight w:val="none"/>
          <w:shd w:val="clear" w:color="auto" w:fill="auto"/>
        </w:rPr>
      </w:r>
    </w:p>
    <w:p>
      <w:pPr>
        <w:pStyle w:val="658"/>
        <w:shd w:val="clear" w:color="auto" w:fill="ffffff"/>
        <w:jc w:val="right"/>
        <w:rPr>
          <w:highlight w:val="none"/>
          <w:shd w:val="clear" w:color="auto" w:fill="auto"/>
        </w:rPr>
      </w:pPr>
      <w:r>
        <w:rPr>
          <w:iCs/>
          <w:sz w:val="26"/>
          <w:szCs w:val="26"/>
          <w:shd w:val="clear" w:color="auto" w:fill="auto"/>
        </w:rPr>
        <w:t xml:space="preserve">теплоснабжения  в горячей воде </w:t>
      </w:r>
      <w:r>
        <w:rPr>
          <w:highlight w:val="none"/>
          <w:shd w:val="clear" w:color="auto" w:fill="auto"/>
        </w:rPr>
      </w:r>
    </w:p>
    <w:p>
      <w:pPr>
        <w:pStyle w:val="658"/>
        <w:shd w:val="clear" w:color="auto" w:fill="ffffff"/>
        <w:jc w:val="right"/>
        <w:rPr>
          <w:highlight w:val="none"/>
          <w:shd w:val="clear" w:color="auto" w:fill="auto"/>
        </w:rPr>
      </w:pPr>
      <w:r>
        <w:rPr>
          <w:iCs/>
          <w:sz w:val="26"/>
          <w:szCs w:val="26"/>
          <w:shd w:val="clear" w:color="auto" w:fill="auto"/>
        </w:rPr>
        <w:t xml:space="preserve">№ </w:t>
      </w:r>
      <w:r>
        <w:rPr>
          <w:iCs/>
          <w:sz w:val="26"/>
          <w:szCs w:val="26"/>
          <w:shd w:val="clear" w:color="auto" w:fill="auto"/>
        </w:rPr>
        <w:t xml:space="preserve">_________ от ______________________г</w:t>
      </w:r>
      <w:r>
        <w:rPr>
          <w:highlight w:val="none"/>
          <w:shd w:val="clear" w:color="auto" w:fill="auto"/>
        </w:rPr>
      </w:r>
    </w:p>
    <w:p>
      <w:pPr>
        <w:pStyle w:val="658"/>
        <w:jc w:val="center"/>
        <w:rPr>
          <w:highlight w:val="none"/>
          <w:shd w:val="clear" w:color="auto" w:fill="auto"/>
        </w:rPr>
      </w:pPr>
      <w:r>
        <w:rPr>
          <w:b/>
          <w:sz w:val="26"/>
          <w:szCs w:val="26"/>
          <w:shd w:val="clear" w:color="auto" w:fill="auto"/>
        </w:rPr>
        <w:t xml:space="preserve">АКТ</w:t>
      </w:r>
      <w:r>
        <w:rPr>
          <w:highlight w:val="none"/>
          <w:shd w:val="clear" w:color="auto" w:fill="auto"/>
        </w:rPr>
      </w:r>
    </w:p>
    <w:p>
      <w:pPr>
        <w:pStyle w:val="658"/>
        <w:jc w:val="center"/>
        <w:rPr>
          <w:highlight w:val="none"/>
          <w:shd w:val="clear" w:color="auto" w:fill="auto"/>
        </w:rPr>
      </w:pPr>
      <w:r>
        <w:rPr>
          <w:b/>
          <w:sz w:val="26"/>
          <w:szCs w:val="26"/>
          <w:shd w:val="clear" w:color="auto" w:fill="auto"/>
        </w:rPr>
        <w:t xml:space="preserve">разграничения балансовой принадлежности и определения границы эксплуатационной</w:t>
      </w:r>
      <w:r>
        <w:rPr>
          <w:highlight w:val="none"/>
          <w:shd w:val="clear" w:color="auto" w:fill="auto"/>
        </w:rPr>
      </w:r>
    </w:p>
    <w:p>
      <w:pPr>
        <w:pStyle w:val="658"/>
        <w:jc w:val="center"/>
        <w:rPr>
          <w:highlight w:val="none"/>
          <w:shd w:val="clear" w:color="auto" w:fill="auto"/>
        </w:rPr>
      </w:pPr>
      <w:r>
        <w:rPr>
          <w:b/>
          <w:sz w:val="26"/>
          <w:szCs w:val="26"/>
          <w:shd w:val="clear" w:color="auto" w:fill="auto"/>
        </w:rPr>
        <w:t xml:space="preserve">ответственности между Потребителем (</w:t>
      </w:r>
      <w:r>
        <w:rPr>
          <w:b/>
          <w:i/>
          <w:iCs/>
          <w:sz w:val="26"/>
          <w:szCs w:val="26"/>
          <w:u w:val="none"/>
          <w:shd w:val="clear" w:color="auto" w:fill="auto"/>
        </w:rPr>
        <w:t xml:space="preserve">и</w:t>
      </w:r>
      <w:r>
        <w:rPr>
          <w:b/>
          <w:sz w:val="26"/>
          <w:szCs w:val="26"/>
          <w:shd w:val="clear" w:color="auto" w:fill="auto"/>
        </w:rPr>
        <w:t xml:space="preserve"> )</w:t>
      </w:r>
      <w:r>
        <w:rPr>
          <w:highlight w:val="none"/>
          <w:shd w:val="clear" w:color="auto" w:fill="auto"/>
        </w:rPr>
      </w:r>
    </w:p>
    <w:p>
      <w:pPr>
        <w:pStyle w:val="658"/>
        <w:jc w:val="center"/>
        <w:rPr>
          <w:highlight w:val="none"/>
          <w:shd w:val="clear" w:color="auto" w:fill="auto"/>
        </w:rPr>
      </w:pPr>
      <w:r>
        <w:rPr>
          <w:b/>
          <w:sz w:val="26"/>
          <w:szCs w:val="26"/>
          <w:shd w:val="clear" w:color="auto" w:fill="auto"/>
        </w:rPr>
        <w:t xml:space="preserve">Теплоснабжающей</w:t>
      </w:r>
      <w:r>
        <w:rPr>
          <w:b/>
          <w:shd w:val="clear" w:color="auto" w:fill="auto"/>
        </w:rPr>
        <w:t xml:space="preserve"> </w:t>
      </w:r>
      <w:r>
        <w:rPr>
          <w:b/>
          <w:sz w:val="26"/>
          <w:szCs w:val="26"/>
          <w:shd w:val="clear" w:color="auto" w:fill="auto"/>
        </w:rPr>
        <w:t xml:space="preserve">организацией </w:t>
      </w:r>
      <w:r>
        <w:rPr>
          <w:b/>
          <w:i/>
          <w:iCs/>
          <w:sz w:val="26"/>
          <w:szCs w:val="26"/>
          <w:shd w:val="clear" w:color="auto" w:fill="auto"/>
        </w:rPr>
        <w:t xml:space="preserve">и Теплосетевой организацией</w:t>
      </w:r>
      <w:r>
        <w:rPr>
          <w:highlight w:val="none"/>
          <w:shd w:val="clear" w:color="auto" w:fill="auto"/>
        </w:rPr>
      </w:r>
    </w:p>
    <w:p>
      <w:pPr>
        <w:pStyle w:val="658"/>
        <w:rPr>
          <w:b/>
          <w:sz w:val="26"/>
          <w:szCs w:val="26"/>
          <w:highlight w:val="none"/>
          <w:shd w:val="clear" w:color="auto" w:fill="auto"/>
        </w:rPr>
      </w:pPr>
      <w:r>
        <w:rPr>
          <w:b/>
          <w:sz w:val="26"/>
          <w:szCs w:val="26"/>
          <w:shd w:val="clear" w:color="auto" w:fill="auto"/>
        </w:rPr>
      </w:r>
      <w:r>
        <w:rPr>
          <w:b/>
          <w:sz w:val="26"/>
          <w:szCs w:val="26"/>
          <w:highlight w:val="none"/>
          <w:shd w:val="clear" w:color="auto" w:fill="auto"/>
        </w:rPr>
      </w:r>
    </w:p>
    <w:p>
      <w:pPr>
        <w:pStyle w:val="658"/>
        <w:rPr>
          <w:highlight w:val="none"/>
          <w:shd w:val="clear" w:color="auto" w:fill="auto"/>
        </w:rPr>
      </w:pPr>
      <w:r>
        <w:rPr>
          <w:sz w:val="26"/>
          <w:szCs w:val="26"/>
          <w:shd w:val="clear" w:color="auto" w:fill="auto"/>
        </w:rPr>
        <w:t xml:space="preserve">Мы, нижеподписавшиеся, представители: </w:t>
      </w:r>
      <w:r>
        <w:rPr>
          <w:highlight w:val="none"/>
          <w:shd w:val="clear" w:color="auto" w:fill="auto"/>
        </w:rPr>
      </w:r>
    </w:p>
    <w:p>
      <w:pPr>
        <w:pStyle w:val="658"/>
        <w:rPr>
          <w:highlight w:val="none"/>
          <w:shd w:val="clear" w:color="auto" w:fill="auto"/>
        </w:rPr>
      </w:pPr>
      <w:r>
        <w:rPr>
          <w:sz w:val="26"/>
          <w:szCs w:val="26"/>
          <w:shd w:val="clear" w:color="auto" w:fill="auto"/>
        </w:rPr>
        <w:t xml:space="preserve">Теплоснабжающей</w:t>
      </w:r>
      <w:r>
        <w:rPr>
          <w:shd w:val="clear" w:color="auto" w:fill="auto"/>
        </w:rPr>
        <w:t xml:space="preserve"> </w:t>
      </w:r>
      <w:r>
        <w:rPr>
          <w:sz w:val="26"/>
          <w:szCs w:val="26"/>
          <w:shd w:val="clear" w:color="auto" w:fill="auto"/>
        </w:rPr>
        <w:t xml:space="preserve">организации филиала ПАО  «ОГК-2» - ______________________ в лице дректора филиала ПАО «ОГК-2» - ____________________________________________, действующего на основании ______________________________________________,</w:t>
      </w:r>
      <w:r>
        <w:rPr>
          <w:highlight w:val="none"/>
          <w:shd w:val="clear" w:color="auto" w:fill="auto"/>
        </w:rPr>
      </w:r>
    </w:p>
    <w:p>
      <w:pPr>
        <w:pStyle w:val="658"/>
        <w:rPr>
          <w:highlight w:val="none"/>
          <w:shd w:val="clear" w:color="auto" w:fill="auto"/>
        </w:rPr>
      </w:pPr>
      <w:r>
        <w:rPr>
          <w:i/>
          <w:iCs/>
          <w:sz w:val="26"/>
          <w:szCs w:val="26"/>
          <w:shd w:val="clear" w:color="auto" w:fill="auto"/>
        </w:rPr>
        <w:t xml:space="preserve">Теплосетевой организации, в лице_____________________________действующего на основании__________________________________</w:t>
      </w:r>
      <w:r>
        <w:rPr>
          <w:highlight w:val="none"/>
          <w:shd w:val="clear" w:color="auto" w:fill="auto"/>
        </w:rPr>
      </w:r>
    </w:p>
    <w:p>
      <w:pPr>
        <w:pStyle w:val="658"/>
        <w:rPr>
          <w:highlight w:val="none"/>
          <w:shd w:val="clear" w:color="auto" w:fill="auto"/>
        </w:rPr>
      </w:pPr>
      <w:r>
        <w:rPr>
          <w:sz w:val="26"/>
          <w:szCs w:val="26"/>
          <w:shd w:val="clear" w:color="auto" w:fill="auto"/>
        </w:rPr>
        <w:t xml:space="preserve">Потребителя ________________________в лице __________________, действующего на основании _______________________________</w:t>
      </w:r>
      <w:r>
        <w:rPr>
          <w:highlight w:val="none"/>
          <w:shd w:val="clear" w:color="auto" w:fill="auto"/>
        </w:rPr>
      </w:r>
    </w:p>
    <w:p>
      <w:pPr>
        <w:pStyle w:val="658"/>
        <w:rPr>
          <w:highlight w:val="none"/>
          <w:shd w:val="clear" w:color="auto" w:fill="auto"/>
        </w:rPr>
      </w:pPr>
      <w:r>
        <w:rPr>
          <w:sz w:val="26"/>
          <w:szCs w:val="26"/>
          <w:shd w:val="clear" w:color="auto" w:fill="auto"/>
        </w:rPr>
        <w:t xml:space="preserve">Составили настоящий акт на предмет  присоединения  тепловых сетей Потребителя к тепловым сетям филиала ПАО «ОГК-2» - ____________ , </w:t>
      </w:r>
      <w:r>
        <w:rPr>
          <w:i/>
          <w:iCs/>
          <w:sz w:val="26"/>
          <w:szCs w:val="26"/>
          <w:shd w:val="clear" w:color="auto" w:fill="auto"/>
        </w:rPr>
        <w:t xml:space="preserve">через тепловые сети Теплосетевой организации____________,</w:t>
      </w:r>
      <w:r>
        <w:rPr>
          <w:sz w:val="26"/>
          <w:szCs w:val="26"/>
          <w:shd w:val="clear" w:color="auto" w:fill="auto"/>
        </w:rPr>
        <w:t xml:space="preserve"> определения  границ</w:t>
      </w:r>
      <w:r>
        <w:rPr>
          <w:i/>
          <w:iCs/>
          <w:sz w:val="26"/>
          <w:szCs w:val="26"/>
          <w:shd w:val="clear" w:color="auto" w:fill="auto"/>
        </w:rPr>
        <w:t xml:space="preserve">(ы)</w:t>
      </w:r>
      <w:r>
        <w:rPr>
          <w:sz w:val="26"/>
          <w:szCs w:val="26"/>
          <w:shd w:val="clear" w:color="auto" w:fill="auto"/>
        </w:rPr>
        <w:t xml:space="preserve"> балансовой принадлежности (точки </w:t>
      </w:r>
      <w:r>
        <w:rPr>
          <w:i/>
          <w:iCs/>
          <w:sz w:val="26"/>
          <w:szCs w:val="26"/>
          <w:shd w:val="clear" w:color="auto" w:fill="auto"/>
        </w:rPr>
        <w:t xml:space="preserve">(-ек)</w:t>
      </w:r>
      <w:r>
        <w:rPr>
          <w:sz w:val="26"/>
          <w:szCs w:val="26"/>
          <w:shd w:val="clear" w:color="auto" w:fill="auto"/>
        </w:rPr>
        <w:t xml:space="preserve"> поставки) и эксплуатационной ответственности между сетями Потребителя </w:t>
      </w:r>
      <w:r>
        <w:rPr>
          <w:i/>
          <w:iCs/>
          <w:sz w:val="26"/>
          <w:szCs w:val="26"/>
          <w:shd w:val="clear" w:color="auto" w:fill="auto"/>
        </w:rPr>
        <w:t xml:space="preserve">(и)</w:t>
      </w:r>
      <w:r>
        <w:rPr>
          <w:sz w:val="26"/>
          <w:szCs w:val="26"/>
          <w:shd w:val="clear" w:color="auto" w:fill="auto"/>
        </w:rPr>
        <w:t xml:space="preserve"> Теплоснабжающей</w:t>
      </w:r>
      <w:r>
        <w:rPr>
          <w:shd w:val="clear" w:color="auto" w:fill="auto"/>
        </w:rPr>
        <w:t xml:space="preserve"> </w:t>
      </w:r>
      <w:r>
        <w:rPr>
          <w:sz w:val="26"/>
          <w:szCs w:val="26"/>
          <w:shd w:val="clear" w:color="auto" w:fill="auto"/>
        </w:rPr>
        <w:t xml:space="preserve">организации </w:t>
      </w:r>
      <w:r>
        <w:rPr>
          <w:i/>
          <w:iCs/>
          <w:sz w:val="26"/>
          <w:szCs w:val="26"/>
          <w:shd w:val="clear" w:color="auto" w:fill="auto"/>
        </w:rPr>
        <w:t xml:space="preserve">и Теплосетевой организации.</w:t>
      </w:r>
      <w:r>
        <w:rPr>
          <w:highlight w:val="none"/>
          <w:shd w:val="clear" w:color="auto" w:fill="auto"/>
        </w:rPr>
      </w:r>
    </w:p>
    <w:tbl>
      <w:tblPr>
        <w:tblW w:w="14484" w:type="dxa"/>
        <w:tblInd w:w="40" w:type="dxa"/>
        <w:tblLayout w:type="fixed"/>
        <w:tblCellMar>
          <w:left w:w="40" w:type="dxa"/>
          <w:top w:w="0" w:type="dxa"/>
          <w:right w:w="40" w:type="dxa"/>
          <w:bottom w:w="0" w:type="dxa"/>
        </w:tblCellMar>
        <w:tblLook w:val="04A0" w:firstRow="1" w:lastRow="0" w:firstColumn="1" w:lastColumn="0" w:noHBand="0" w:noVBand="1"/>
      </w:tblPr>
      <w:tblGrid>
        <w:gridCol w:w="3703"/>
        <w:gridCol w:w="3760"/>
        <w:gridCol w:w="3511"/>
        <w:gridCol w:w="3509"/>
      </w:tblGrid>
      <w:tr>
        <w:trPr>
          <w:trHeight w:val="2425"/>
        </w:trPr>
        <w:tblPrEx/>
        <w:tc>
          <w:tcPr>
            <w:tcW w:w="3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center"/>
          </w:tcPr>
          <w:p>
            <w:pPr>
              <w:pStyle w:val="658"/>
              <w:shd w:val="clear" w:color="auto" w:fill="ffffff"/>
              <w:jc w:val="center"/>
              <w:rPr>
                <w:highlight w:val="none"/>
                <w:shd w:val="clear" w:color="auto" w:fill="auto"/>
              </w:rPr>
            </w:pPr>
            <w:r>
              <w:rPr>
                <w:spacing w:val="-10"/>
                <w:sz w:val="22"/>
                <w:szCs w:val="22"/>
                <w:shd w:val="clear" w:color="auto" w:fill="auto"/>
              </w:rPr>
              <w:t xml:space="preserve">Граница </w:t>
            </w:r>
            <w:r>
              <w:rPr>
                <w:spacing w:val="-9"/>
                <w:sz w:val="22"/>
                <w:szCs w:val="22"/>
                <w:shd w:val="clear" w:color="auto" w:fill="auto"/>
              </w:rPr>
              <w:t xml:space="preserve">балансовой  принадлежности  и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658"/>
              <w:shd w:val="clear" w:color="auto" w:fill="ffffff"/>
              <w:jc w:val="center"/>
              <w:rPr>
                <w:highlight w:val="none"/>
                <w:shd w:val="clear" w:color="auto" w:fill="auto"/>
              </w:rPr>
            </w:pPr>
            <w:r>
              <w:rPr>
                <w:spacing w:val="-9"/>
                <w:sz w:val="22"/>
                <w:szCs w:val="22"/>
                <w:shd w:val="clear" w:color="auto" w:fill="auto"/>
              </w:rPr>
              <w:t xml:space="preserve">эксплуатационной ответственности между сетями </w:t>
            </w:r>
            <w:r>
              <w:rPr>
                <w:spacing w:val="-10"/>
                <w:sz w:val="22"/>
                <w:szCs w:val="22"/>
                <w:shd w:val="clear" w:color="auto" w:fill="auto"/>
              </w:rPr>
              <w:t xml:space="preserve">ПАО «ОГК-2» и </w:t>
            </w:r>
            <w:r>
              <w:rPr>
                <w:i/>
                <w:iCs/>
                <w:spacing w:val="-10"/>
                <w:sz w:val="22"/>
                <w:szCs w:val="22"/>
                <w:shd w:val="clear" w:color="auto" w:fill="auto"/>
              </w:rPr>
              <w:t xml:space="preserve">Потребителем (точка поставки)</w:t>
            </w:r>
            <w:r>
              <w:rPr>
                <w:sz w:val="22"/>
                <w:szCs w:val="22"/>
                <w:shd w:val="clear" w:color="auto" w:fill="auto"/>
              </w:rPr>
              <w:t xml:space="preserve">/ (</w:t>
            </w:r>
            <w:r>
              <w:rPr>
                <w:i/>
                <w:iCs/>
                <w:sz w:val="22"/>
                <w:szCs w:val="22"/>
                <w:shd w:val="clear" w:color="auto" w:fill="auto"/>
              </w:rPr>
              <w:t xml:space="preserve">Теплосетевой организацией</w:t>
            </w:r>
            <w:r>
              <w:rPr>
                <w:sz w:val="22"/>
                <w:szCs w:val="22"/>
                <w:shd w:val="clear" w:color="auto" w:fill="auto"/>
              </w:rPr>
              <w:t xml:space="preserve">)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658"/>
              <w:shd w:val="clear" w:color="auto" w:fill="ffffff"/>
              <w:jc w:val="center"/>
              <w:rPr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sz w:val="22"/>
                <w:szCs w:val="22"/>
                <w:shd w:val="clear" w:color="auto" w:fill="auto"/>
              </w:rPr>
            </w:r>
            <w:r>
              <w:rPr>
                <w:sz w:val="22"/>
                <w:szCs w:val="22"/>
                <w:highlight w:val="none"/>
                <w:shd w:val="clear" w:color="auto" w:fill="auto"/>
              </w:rPr>
            </w:r>
          </w:p>
        </w:tc>
        <w:tc>
          <w:tcPr>
            <w:tcW w:w="3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center"/>
          </w:tcPr>
          <w:p>
            <w:pPr>
              <w:pStyle w:val="658"/>
              <w:shd w:val="clear" w:color="auto" w:fill="ffffff"/>
              <w:jc w:val="center"/>
              <w:rPr>
                <w:highlight w:val="none"/>
                <w:shd w:val="clear" w:color="auto" w:fill="auto"/>
              </w:rPr>
            </w:pPr>
            <w:r>
              <w:rPr>
                <w:i/>
                <w:iCs/>
                <w:spacing w:val="-9"/>
                <w:sz w:val="22"/>
                <w:szCs w:val="22"/>
                <w:shd w:val="clear" w:color="auto" w:fill="auto"/>
              </w:rPr>
              <w:t xml:space="preserve">Тепловые сети и теплопотребляющие энергоустановки, находящиеся на балансе Теплосетевой организации и присоединенные к сетям П АО «ОГК-2»</w:t>
            </w:r>
            <w:r>
              <w:rPr>
                <w:i/>
                <w:iCs/>
                <w:sz w:val="22"/>
                <w:szCs w:val="22"/>
                <w:shd w:val="clear" w:color="auto" w:fill="auto"/>
              </w:rPr>
              <w:t xml:space="preserve">, </w:t>
            </w:r>
            <w:r>
              <w:rPr>
                <w:i/>
                <w:iCs/>
                <w:spacing w:val="-9"/>
                <w:sz w:val="22"/>
                <w:szCs w:val="22"/>
                <w:shd w:val="clear" w:color="auto" w:fill="auto"/>
              </w:rPr>
              <w:t xml:space="preserve">граница балансовой  принадлежности и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658"/>
              <w:shd w:val="clear" w:color="auto" w:fill="ffffff"/>
              <w:jc w:val="center"/>
              <w:rPr>
                <w:highlight w:val="none"/>
                <w:shd w:val="clear" w:color="auto" w:fill="auto"/>
              </w:rPr>
            </w:pPr>
            <w:r>
              <w:rPr>
                <w:i/>
                <w:iCs/>
                <w:spacing w:val="-9"/>
                <w:sz w:val="22"/>
                <w:szCs w:val="22"/>
                <w:shd w:val="clear" w:color="auto" w:fill="auto"/>
              </w:rPr>
              <w:t xml:space="preserve">эксплуатационной ответственности между сетями </w:t>
            </w:r>
            <w:r>
              <w:rPr>
                <w:i/>
                <w:iCs/>
                <w:spacing w:val="-10"/>
                <w:sz w:val="22"/>
                <w:szCs w:val="22"/>
                <w:shd w:val="clear" w:color="auto" w:fill="auto"/>
              </w:rPr>
              <w:t xml:space="preserve">Теплосетевой организации  и Потребителем (точка поставки)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35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center"/>
          </w:tcPr>
          <w:p>
            <w:pPr>
              <w:pStyle w:val="658"/>
              <w:jc w:val="center"/>
              <w:rPr>
                <w:i/>
                <w:iCs/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spacing w:val="-10"/>
                <w:sz w:val="22"/>
                <w:szCs w:val="22"/>
                <w:shd w:val="clear" w:color="auto" w:fill="auto"/>
              </w:rPr>
              <w:t xml:space="preserve"> </w:t>
            </w:r>
            <w:r>
              <w:rPr>
                <w:spacing w:val="-10"/>
                <w:sz w:val="22"/>
                <w:szCs w:val="22"/>
                <w:shd w:val="clear" w:color="auto" w:fill="auto"/>
              </w:rPr>
              <w:t xml:space="preserve">Тепловые сети и теплопотребляющие установки, находящиеся на балансе Потребителя </w:t>
            </w:r>
            <w:r>
              <w:rPr>
                <w:i/>
                <w:iCs/>
                <w:spacing w:val="-10"/>
                <w:sz w:val="22"/>
                <w:szCs w:val="22"/>
                <w:shd w:val="clear" w:color="auto" w:fill="auto"/>
              </w:rPr>
              <w:t xml:space="preserve">и присоединенные к сетям ПАО «ОГК-2»</w:t>
            </w:r>
            <w:r>
              <w:rPr>
                <w:shd w:val="clear" w:color="auto" w:fill="auto"/>
              </w:rPr>
              <w:t xml:space="preserve">/</w:t>
            </w:r>
            <w:r>
              <w:rPr>
                <w:i/>
                <w:iCs/>
                <w:sz w:val="22"/>
                <w:szCs w:val="22"/>
                <w:shd w:val="clear" w:color="auto" w:fill="auto"/>
              </w:rPr>
              <w:t xml:space="preserve">теплосетевой организации</w:t>
            </w:r>
            <w:r>
              <w:rPr>
                <w:i/>
                <w:iCs/>
                <w:sz w:val="22"/>
                <w:szCs w:val="22"/>
                <w:highlight w:val="none"/>
                <w:shd w:val="clear" w:color="auto" w:fill="auto"/>
              </w:rPr>
            </w:r>
          </w:p>
          <w:p>
            <w:pPr>
              <w:pStyle w:val="658"/>
              <w:shd w:val="clear" w:color="auto" w:fill="ffffff"/>
              <w:jc w:val="center"/>
              <w:rPr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sz w:val="22"/>
                <w:szCs w:val="22"/>
                <w:shd w:val="clear" w:color="auto" w:fill="auto"/>
              </w:rPr>
            </w:r>
            <w:r>
              <w:rPr>
                <w:sz w:val="22"/>
                <w:szCs w:val="22"/>
                <w:highlight w:val="none"/>
                <w:shd w:val="clear" w:color="auto" w:fill="auto"/>
              </w:rPr>
            </w:r>
          </w:p>
        </w:tc>
        <w:tc>
          <w:tcPr>
            <w:tcW w:w="35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center"/>
          </w:tcPr>
          <w:p>
            <w:pPr>
              <w:pStyle w:val="658"/>
              <w:shd w:val="clear" w:color="auto" w:fill="ffffff"/>
              <w:jc w:val="center"/>
              <w:rPr>
                <w:highlight w:val="none"/>
                <w:shd w:val="clear" w:color="auto" w:fill="auto"/>
              </w:rPr>
            </w:pPr>
            <w:r>
              <w:rPr>
                <w:spacing w:val="-13"/>
                <w:sz w:val="22"/>
                <w:szCs w:val="22"/>
                <w:shd w:val="clear" w:color="auto" w:fill="auto"/>
              </w:rPr>
              <w:t xml:space="preserve">Основания права пользования сетями </w:t>
            </w:r>
            <w:r>
              <w:rPr>
                <w:spacing w:val="-9"/>
                <w:sz w:val="22"/>
                <w:szCs w:val="22"/>
                <w:shd w:val="clear" w:color="auto" w:fill="auto"/>
              </w:rPr>
              <w:t xml:space="preserve">(собственность, в хозяйственном  ведении, в оперативном </w:t>
            </w:r>
            <w:r>
              <w:rPr>
                <w:spacing w:val="-10"/>
                <w:sz w:val="22"/>
                <w:szCs w:val="22"/>
                <w:shd w:val="clear" w:color="auto" w:fill="auto"/>
              </w:rPr>
              <w:t xml:space="preserve">управлении, </w:t>
            </w:r>
            <w:r>
              <w:rPr>
                <w:spacing w:val="-9"/>
                <w:sz w:val="22"/>
                <w:szCs w:val="22"/>
                <w:shd w:val="clear" w:color="auto" w:fill="auto"/>
              </w:rPr>
              <w:t xml:space="preserve">аренда</w:t>
            </w:r>
            <w:r>
              <w:rPr>
                <w:spacing w:val="-10"/>
                <w:sz w:val="22"/>
                <w:szCs w:val="22"/>
                <w:shd w:val="clear" w:color="auto" w:fill="auto"/>
              </w:rPr>
              <w:t xml:space="preserve"> или иное), представленные Потребителем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658"/>
              <w:shd w:val="clear" w:color="auto" w:fill="ffffff"/>
              <w:jc w:val="center"/>
              <w:rPr>
                <w:spacing w:val="-10"/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spacing w:val="-10"/>
                <w:sz w:val="22"/>
                <w:szCs w:val="22"/>
                <w:shd w:val="clear" w:color="auto" w:fill="auto"/>
              </w:rPr>
            </w:r>
            <w:r>
              <w:rPr>
                <w:spacing w:val="-10"/>
                <w:sz w:val="22"/>
                <w:szCs w:val="22"/>
                <w:highlight w:val="none"/>
                <w:shd w:val="clear" w:color="auto" w:fill="auto"/>
              </w:rPr>
            </w:r>
          </w:p>
          <w:p>
            <w:pPr>
              <w:pStyle w:val="658"/>
              <w:shd w:val="clear" w:color="auto" w:fill="ffffff"/>
              <w:jc w:val="center"/>
              <w:rPr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sz w:val="22"/>
                <w:szCs w:val="22"/>
                <w:shd w:val="clear" w:color="auto" w:fill="auto"/>
              </w:rPr>
            </w:r>
            <w:r>
              <w:rPr>
                <w:sz w:val="22"/>
                <w:szCs w:val="22"/>
                <w:highlight w:val="none"/>
                <w:shd w:val="clear" w:color="auto" w:fill="auto"/>
              </w:rPr>
            </w:r>
          </w:p>
        </w:tc>
      </w:tr>
      <w:tr>
        <w:trPr>
          <w:trHeight w:val="849"/>
        </w:trPr>
        <w:tblPrEx/>
        <w:tc>
          <w:tcPr>
            <w:tcW w:w="3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center"/>
          </w:tcPr>
          <w:p>
            <w:pPr>
              <w:pStyle w:val="658"/>
              <w:shd w:val="clear" w:color="auto" w:fill="ffffff"/>
              <w:spacing w:before="40" w:after="40"/>
              <w:jc w:val="center"/>
              <w:rPr>
                <w:iCs/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iCs/>
                <w:sz w:val="22"/>
                <w:szCs w:val="22"/>
                <w:shd w:val="clear" w:color="auto" w:fill="auto"/>
              </w:rPr>
            </w:r>
            <w:r>
              <w:rPr>
                <w:iCs/>
                <w:sz w:val="22"/>
                <w:szCs w:val="22"/>
                <w:highlight w:val="none"/>
                <w:shd w:val="clear" w:color="auto" w:fill="auto"/>
              </w:rPr>
            </w:r>
          </w:p>
        </w:tc>
        <w:tc>
          <w:tcPr>
            <w:tcW w:w="3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center"/>
          </w:tcPr>
          <w:p>
            <w:pPr>
              <w:pStyle w:val="658"/>
              <w:shd w:val="clear" w:color="auto" w:fill="ffffff"/>
              <w:spacing w:before="40" w:after="40"/>
              <w:jc w:val="center"/>
              <w:rPr>
                <w:iCs/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iCs/>
                <w:sz w:val="22"/>
                <w:szCs w:val="22"/>
                <w:shd w:val="clear" w:color="auto" w:fill="auto"/>
              </w:rPr>
            </w:r>
            <w:r>
              <w:rPr>
                <w:iCs/>
                <w:sz w:val="22"/>
                <w:szCs w:val="22"/>
                <w:highlight w:val="none"/>
                <w:shd w:val="clear" w:color="auto" w:fill="auto"/>
              </w:rPr>
            </w:r>
          </w:p>
        </w:tc>
        <w:tc>
          <w:tcPr>
            <w:tcW w:w="35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center"/>
          </w:tcPr>
          <w:p>
            <w:pPr>
              <w:pStyle w:val="658"/>
              <w:shd w:val="clear" w:color="auto" w:fill="ffffff"/>
              <w:spacing w:before="40" w:after="40"/>
              <w:jc w:val="center"/>
              <w:rPr>
                <w:iCs/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iCs/>
                <w:sz w:val="22"/>
                <w:szCs w:val="22"/>
                <w:shd w:val="clear" w:color="auto" w:fill="auto"/>
              </w:rPr>
            </w:r>
            <w:r>
              <w:rPr>
                <w:iCs/>
                <w:sz w:val="22"/>
                <w:szCs w:val="22"/>
                <w:highlight w:val="none"/>
                <w:shd w:val="clear" w:color="auto" w:fill="auto"/>
              </w:rPr>
            </w:r>
          </w:p>
        </w:tc>
        <w:tc>
          <w:tcPr>
            <w:tcW w:w="35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center"/>
          </w:tcPr>
          <w:p>
            <w:pPr>
              <w:pStyle w:val="658"/>
              <w:rPr>
                <w:highlight w:val="none"/>
                <w:shd w:val="clear" w:color="auto" w:fill="auto"/>
              </w:rPr>
            </w:pPr>
            <w:r>
              <w:rPr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</w:tbl>
    <w:p>
      <w:pPr>
        <w:pStyle w:val="658"/>
        <w:jc w:val="center"/>
        <w:rPr>
          <w:b/>
          <w:sz w:val="22"/>
          <w:szCs w:val="22"/>
          <w:highlight w:val="none"/>
          <w:shd w:val="clear" w:color="auto" w:fill="auto"/>
        </w:rPr>
      </w:pPr>
      <w:r>
        <w:rPr>
          <w:b/>
          <w:sz w:val="22"/>
          <w:szCs w:val="22"/>
          <w:shd w:val="clear" w:color="auto" w:fill="auto"/>
        </w:rPr>
      </w:r>
      <w:r>
        <w:rPr>
          <w:b/>
          <w:sz w:val="22"/>
          <w:szCs w:val="22"/>
          <w:highlight w:val="none"/>
          <w:shd w:val="clear" w:color="auto" w:fill="auto"/>
        </w:rPr>
      </w:r>
    </w:p>
    <w:tbl>
      <w:tblPr>
        <w:tblW w:w="12965" w:type="dxa"/>
        <w:tblInd w:w="10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2249"/>
        <w:gridCol w:w="2252"/>
        <w:gridCol w:w="3957"/>
        <w:gridCol w:w="2252"/>
        <w:gridCol w:w="2255"/>
      </w:tblGrid>
      <w:tr>
        <w:trPr/>
        <w:tblPrEx/>
        <w:tc>
          <w:tcPr>
            <w:tcW w:w="12965" w:type="dxa"/>
            <w:gridSpan w:val="5"/>
            <w:noWrap w:val="false"/>
            <w:textDirection w:val="lrTb"/>
          </w:tcPr>
          <w:p>
            <w:pPr>
              <w:pStyle w:val="744"/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shd w:val="clear" w:color="auto" w:fill="auto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4501" w:type="dxa"/>
            <w:gridSpan w:val="2"/>
            <w:noWrap w:val="false"/>
            <w:textDirection w:val="lrTb"/>
          </w:tcPr>
          <w:p>
            <w:pPr>
              <w:pStyle w:val="744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shd w:val="clear" w:color="auto" w:fill="auto"/>
              </w:rPr>
              <w:t xml:space="preserve">Теплоснабжающая организация: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3957" w:type="dxa"/>
            <w:noWrap w:val="false"/>
            <w:textDirection w:val="lrTb"/>
          </w:tcPr>
          <w:p>
            <w:pPr>
              <w:pStyle w:val="744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  <w:shd w:val="clear" w:color="auto" w:fill="auto"/>
              </w:rPr>
              <w:t xml:space="preserve">Теплосетевая организация: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4507" w:type="dxa"/>
            <w:gridSpan w:val="2"/>
            <w:noWrap w:val="false"/>
            <w:textDirection w:val="lrTb"/>
          </w:tcPr>
          <w:p>
            <w:pPr>
              <w:pStyle w:val="744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shd w:val="clear" w:color="auto" w:fill="auto"/>
              </w:rPr>
              <w:t xml:space="preserve">Потребитель:</w:t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12965" w:type="dxa"/>
            <w:gridSpan w:val="5"/>
            <w:noWrap w:val="false"/>
            <w:textDirection w:val="lrTb"/>
          </w:tcPr>
          <w:p>
            <w:pPr>
              <w:pStyle w:val="744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shd w:val="clear" w:color="auto" w:fill="auto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highlight w:val="none"/>
                <w:shd w:val="clear" w:color="auto" w:fill="auto"/>
              </w:rPr>
            </w:r>
          </w:p>
        </w:tc>
      </w:tr>
      <w:tr>
        <w:trPr>
          <w:trHeight w:val="179"/>
        </w:trPr>
        <w:tblPrEx/>
        <w:tc>
          <w:tcPr>
            <w:tcW w:w="2249" w:type="dxa"/>
            <w:tcBorders>
              <w:bottom w:val="single" w:color="000000" w:sz="8" w:space="0"/>
            </w:tcBorders>
            <w:noWrap w:val="false"/>
            <w:textDirection w:val="lrTb"/>
          </w:tcPr>
          <w:p>
            <w:pPr>
              <w:pStyle w:val="74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shd w:val="clear" w:color="auto" w:fill="auto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  <w:shd w:val="clear" w:color="auto" w:fill="auto"/>
              </w:rPr>
            </w:r>
          </w:p>
        </w:tc>
        <w:tc>
          <w:tcPr>
            <w:tcW w:w="2252" w:type="dxa"/>
            <w:noWrap w:val="false"/>
            <w:textDirection w:val="lrTb"/>
          </w:tcPr>
          <w:p>
            <w:pPr>
              <w:pStyle w:val="744"/>
              <w:ind w:right="-104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shd w:val="clear" w:color="auto" w:fill="auto"/>
              </w:rPr>
              <w:t xml:space="preserve">/ФИО/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3957" w:type="dxa"/>
            <w:noWrap w:val="false"/>
            <w:textDirection w:val="lrTb"/>
          </w:tcPr>
          <w:p>
            <w:pPr>
              <w:pStyle w:val="744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shd w:val="clear" w:color="auto" w:fill="auto"/>
              </w:rPr>
              <w:t xml:space="preserve">_________________                  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u w:val="none"/>
                <w:shd w:val="clear" w:color="auto" w:fill="auto"/>
              </w:rPr>
              <w:t xml:space="preserve">  /ФИО/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2252" w:type="dxa"/>
            <w:tcBorders>
              <w:bottom w:val="single" w:color="000000" w:sz="8" w:space="0"/>
            </w:tcBorders>
            <w:noWrap w:val="false"/>
            <w:textDirection w:val="lrTb"/>
          </w:tcPr>
          <w:p>
            <w:pPr>
              <w:pStyle w:val="74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shd w:val="clear" w:color="auto" w:fill="auto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  <w:shd w:val="clear" w:color="auto" w:fill="auto"/>
              </w:rPr>
            </w:r>
          </w:p>
        </w:tc>
        <w:tc>
          <w:tcPr>
            <w:tcW w:w="2255" w:type="dxa"/>
            <w:noWrap w:val="false"/>
            <w:textDirection w:val="lrTb"/>
          </w:tcPr>
          <w:p>
            <w:pPr>
              <w:pStyle w:val="744"/>
              <w:ind w:right="-104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shd w:val="clear" w:color="auto" w:fill="auto"/>
              </w:rPr>
              <w:t xml:space="preserve">/ФИО/</w:t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2249" w:type="dxa"/>
            <w:tcBorders>
              <w:top w:val="single" w:color="000000" w:sz="8" w:space="0"/>
            </w:tcBorders>
            <w:noWrap w:val="false"/>
            <w:textDirection w:val="lrTb"/>
          </w:tcPr>
          <w:p>
            <w:pPr>
              <w:pStyle w:val="744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r>
          </w:p>
        </w:tc>
        <w:tc>
          <w:tcPr>
            <w:tcW w:w="2252" w:type="dxa"/>
            <w:noWrap w:val="false"/>
            <w:textDirection w:val="lrTb"/>
          </w:tcPr>
          <w:p>
            <w:pPr>
              <w:pStyle w:val="744"/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shd w:val="clear" w:color="auto" w:fill="auto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highlight w:val="none"/>
                <w:shd w:val="clear" w:color="auto" w:fill="auto"/>
              </w:rPr>
            </w:r>
          </w:p>
        </w:tc>
        <w:tc>
          <w:tcPr>
            <w:tcW w:w="3957" w:type="dxa"/>
            <w:noWrap w:val="false"/>
            <w:textDirection w:val="lrTb"/>
          </w:tcPr>
          <w:p>
            <w:pPr>
              <w:pStyle w:val="744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2"/>
                <w:szCs w:val="22"/>
                <w:shd w:val="clear" w:color="auto" w:fill="auto"/>
              </w:rPr>
              <w:t xml:space="preserve">              </w:t>
            </w:r>
            <w:r>
              <w:rPr>
                <w:rFonts w:ascii="Times New Roman" w:hAnsi="Times New Roman" w:eastAsia="Droid Sans Fallback" w:cs="Times New Roman"/>
                <w:b w:val="0"/>
                <w:bCs w:val="0"/>
                <w:iCs/>
                <w:color w:val="000000" w:themeColor="text1"/>
                <w:sz w:val="22"/>
                <w:szCs w:val="22"/>
                <w:shd w:val="clear" w:color="auto" w:fill="auto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 w:eastAsia="Droid Sans Fallback" w:cs="Times New Roman"/>
                <w:b w:val="0"/>
                <w:bCs w:val="0"/>
                <w:iCs/>
                <w:color w:val="000000" w:themeColor="text1"/>
                <w:sz w:val="22"/>
                <w:szCs w:val="22"/>
                <w:shd w:val="clear" w:color="auto" w:fill="auto"/>
                <w:lang w:val="ru-RU" w:eastAsia="ru-RU" w:bidi="ar-SA"/>
              </w:rPr>
              <w:t xml:space="preserve">М.П.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2252" w:type="dxa"/>
            <w:noWrap w:val="false"/>
            <w:textDirection w:val="lrTb"/>
          </w:tcPr>
          <w:p>
            <w:pPr>
              <w:pStyle w:val="744"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shd w:val="clear" w:color="auto" w:fill="auto"/>
              </w:rPr>
              <w:t xml:space="preserve">М.П.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2255" w:type="dxa"/>
            <w:noWrap w:val="false"/>
            <w:textDirection w:val="lrTb"/>
          </w:tcPr>
          <w:p>
            <w:pPr>
              <w:pStyle w:val="744"/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shd w:val="clear" w:color="auto" w:fill="auto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highlight w:val="none"/>
                <w:shd w:val="clear" w:color="auto" w:fill="auto"/>
              </w:rPr>
            </w:r>
          </w:p>
        </w:tc>
      </w:tr>
    </w:tbl>
    <w:p>
      <w:pPr>
        <w:pStyle w:val="658"/>
        <w:rPr>
          <w:highlight w:val="none"/>
          <w:shd w:val="clear" w:color="auto" w:fill="auto"/>
        </w:rPr>
      </w:pPr>
      <w:r>
        <w:rPr>
          <w:shd w:val="clear" w:color="auto" w:fill="auto"/>
        </w:rPr>
      </w:r>
      <w:r>
        <w:rPr>
          <w:highlight w:val="none"/>
          <w:shd w:val="clear" w:color="auto" w:fill="auto"/>
        </w:rPr>
      </w:r>
    </w:p>
    <w:sectPr>
      <w:headerReference w:type="default" r:id="rId8"/>
      <w:footerReference w:type="default" r:id="rId9"/>
      <w:footnotePr/>
      <w:endnotePr/>
      <w:type w:val="nextPage"/>
      <w:pgSz w:w="16838" w:h="11906" w:orient="landscape"/>
      <w:pgMar w:top="851" w:right="851" w:bottom="341" w:left="851" w:header="397" w:footer="284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Tahoma">
    <w:panose1 w:val="020B0606030504020204"/>
  </w:font>
  <w:font w:name="Calibri">
    <w:panose1 w:val="020F0502020204030204"/>
  </w:font>
  <w:font w:name="Cambria">
    <w:panose1 w:val="02040503050406030204"/>
  </w:font>
  <w:font w:name="Arial">
    <w:panose1 w:val="020B0604020202020204"/>
  </w:font>
  <w:font w:name="Courier New">
    <w:panose1 w:val="02070409020205020404"/>
  </w:font>
  <w:font w:name="Lohit Devanagari">
    <w:panose1 w:val="020B0600000000000000"/>
  </w:font>
  <w:font w:name="Droid Sans Fallback">
    <w:panose1 w:val="020B0502000000000001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ind w:right="360"/>
      <w:jc w:val="center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5415"/>
              <wp:effectExtent l="0" t="0" r="0" b="0"/>
              <wp:wrapTopAndBottom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727"/>
                            <w:rPr>
                              <w:rStyle w:val="704"/>
                            </w:rPr>
                          </w:pPr>
                          <w:r>
                            <w:rPr>
                              <w:rStyle w:val="704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right;mso-position-vertical-relative:text;margin-top:0.05pt;mso-position-vertical:absolute;width:1.15pt;height:11.45pt;mso-wrap-distance-left:0.00pt;mso-wrap-distance-top:0.00pt;mso-wrap-distance-right:0.00pt;mso-wrap-distance-bottom:0.00pt;v-text-anchor:top;visibility:visible;" filled="f" stroked="f" strokeweight="0.00pt">
              <w10:wrap type="topAndBottom"/>
              <v:textbox inset="0,0,0,0">
                <w:txbxContent>
                  <w:p>
                    <w:pPr>
                      <w:pStyle w:val="727"/>
                      <w:rPr>
                        <w:rStyle w:val="704"/>
                      </w:rPr>
                    </w:pPr>
                    <w:r>
                      <w:rPr>
                        <w:rStyle w:val="704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6"/>
      <w:jc w:val="center"/>
      <w:rPr>
        <w:i/>
        <w:iCs/>
      </w:rPr>
    </w:pPr>
    <w:r>
      <w:rPr>
        <w:i/>
        <w:iCs/>
      </w:rPr>
      <w:t xml:space="preserve">.</w:t>
    </w:r>
    <w:r>
      <w:rPr>
        <w:i/>
        <w:iCs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roid Sans Fallback" w:cs="Lohit Devanaga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 w:default="1">
    <w:name w:val="Normal"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ru-RU" w:bidi="ar-SA"/>
    </w:rPr>
  </w:style>
  <w:style w:type="paragraph" w:styleId="659">
    <w:name w:val="Heading 1"/>
    <w:basedOn w:val="658"/>
    <w:uiPriority w:val="99"/>
    <w:qFormat/>
    <w:pPr>
      <w:keepNext/>
      <w:widowControl w:val="off"/>
      <w:shd w:val="clear" w:color="auto" w:fill="ffffff"/>
      <w:ind w:hanging="91"/>
      <w:jc w:val="center"/>
      <w:outlineLvl w:val="0"/>
    </w:pPr>
    <w:rPr>
      <w:color w:val="000000"/>
      <w:spacing w:val="-14"/>
      <w:sz w:val="25"/>
      <w:szCs w:val="25"/>
    </w:rPr>
  </w:style>
  <w:style w:type="paragraph" w:styleId="660">
    <w:name w:val="Heading 2"/>
    <w:basedOn w:val="658"/>
    <w:uiPriority w:val="99"/>
    <w:qFormat/>
    <w:pPr>
      <w:keepNext/>
      <w:widowControl w:val="off"/>
      <w:shd w:val="clear" w:color="auto" w:fill="ffffff"/>
      <w:spacing w:before="211" w:after="0"/>
      <w:jc w:val="center"/>
      <w:outlineLvl w:val="1"/>
    </w:pPr>
    <w:rPr>
      <w:color w:val="000000"/>
      <w:spacing w:val="-13"/>
      <w:sz w:val="29"/>
      <w:szCs w:val="29"/>
    </w:rPr>
  </w:style>
  <w:style w:type="paragraph" w:styleId="661">
    <w:name w:val="Heading 3"/>
    <w:basedOn w:val="658"/>
    <w:uiPriority w:val="99"/>
    <w:qFormat/>
    <w:pPr>
      <w:keepNext/>
      <w:widowControl w:val="off"/>
      <w:shd w:val="clear" w:color="auto" w:fill="ffffff"/>
      <w:outlineLvl w:val="2"/>
    </w:pPr>
    <w:rPr>
      <w:color w:val="000000"/>
      <w:spacing w:val="-11"/>
      <w:sz w:val="25"/>
      <w:szCs w:val="25"/>
    </w:rPr>
  </w:style>
  <w:style w:type="paragraph" w:styleId="662">
    <w:name w:val="Heading 4"/>
    <w:basedOn w:val="658"/>
    <w:uiPriority w:val="99"/>
    <w:qFormat/>
    <w:pPr>
      <w:keepNext/>
      <w:widowControl w:val="off"/>
      <w:shd w:val="clear" w:color="auto" w:fill="ffffff"/>
      <w:jc w:val="center"/>
      <w:outlineLvl w:val="3"/>
    </w:pPr>
    <w:rPr>
      <w:color w:val="000000"/>
      <w:spacing w:val="-10"/>
      <w:sz w:val="25"/>
      <w:szCs w:val="25"/>
    </w:rPr>
  </w:style>
  <w:style w:type="paragraph" w:styleId="663">
    <w:name w:val="Heading 5"/>
    <w:basedOn w:val="658"/>
    <w:uiPriority w:val="99"/>
    <w:qFormat/>
    <w:pPr>
      <w:keepNext/>
      <w:shd w:val="clear" w:color="auto" w:fill="ffffff"/>
      <w:outlineLvl w:val="4"/>
    </w:pPr>
    <w:rPr>
      <w:sz w:val="24"/>
      <w:szCs w:val="24"/>
    </w:rPr>
  </w:style>
  <w:style w:type="paragraph" w:styleId="664">
    <w:name w:val="Heading 6"/>
    <w:basedOn w:val="658"/>
    <w:uiPriority w:val="99"/>
    <w:qFormat/>
    <w:pPr>
      <w:keepNext/>
      <w:widowControl w:val="off"/>
      <w:shd w:val="clear" w:color="auto" w:fill="ffffff"/>
      <w:tabs>
        <w:tab w:val="clear" w:pos="720" w:leader="none"/>
        <w:tab w:val="left" w:pos="2227" w:leader="none"/>
      </w:tabs>
      <w:ind w:left="62"/>
      <w:jc w:val="right"/>
      <w:outlineLvl w:val="5"/>
    </w:pPr>
    <w:rPr>
      <w:color w:val="000000"/>
      <w:spacing w:val="-7"/>
      <w:sz w:val="25"/>
      <w:szCs w:val="25"/>
    </w:rPr>
  </w:style>
  <w:style w:type="paragraph" w:styleId="665">
    <w:name w:val="Heading 7"/>
    <w:basedOn w:val="658"/>
    <w:uiPriority w:val="99"/>
    <w:qFormat/>
    <w:pPr>
      <w:keepNext/>
      <w:shd w:val="clear" w:color="auto" w:fill="ffffff"/>
      <w:jc w:val="center"/>
      <w:outlineLvl w:val="6"/>
    </w:pPr>
    <w:rPr>
      <w:sz w:val="24"/>
      <w:szCs w:val="24"/>
    </w:rPr>
  </w:style>
  <w:style w:type="paragraph" w:styleId="666">
    <w:name w:val="Heading 8"/>
    <w:basedOn w:val="658"/>
    <w:uiPriority w:val="99"/>
    <w:qFormat/>
    <w:pPr>
      <w:keepNext/>
      <w:shd w:val="clear" w:color="auto" w:fill="ffffff"/>
      <w:jc w:val="right"/>
      <w:outlineLvl w:val="7"/>
    </w:pPr>
    <w:rPr>
      <w:color w:val="000000"/>
      <w:spacing w:val="-9"/>
      <w:sz w:val="25"/>
      <w:szCs w:val="25"/>
    </w:rPr>
  </w:style>
  <w:style w:type="paragraph" w:styleId="667">
    <w:name w:val="Heading 9"/>
    <w:basedOn w:val="658"/>
    <w:uiPriority w:val="99"/>
    <w:qFormat/>
    <w:pPr>
      <w:keepNext/>
      <w:shd w:val="clear" w:color="auto" w:fill="ffffff"/>
      <w:ind w:firstLine="7938"/>
      <w:outlineLvl w:val="8"/>
    </w:pPr>
    <w:rPr>
      <w:b/>
      <w:bCs/>
      <w:color w:val="000000"/>
      <w:spacing w:val="-4"/>
      <w:sz w:val="25"/>
      <w:szCs w:val="25"/>
    </w:rPr>
  </w:style>
  <w:style w:type="character" w:styleId="668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69">
    <w:name w:val="Heading 2 Char"/>
    <w:uiPriority w:val="9"/>
    <w:qFormat/>
    <w:rPr>
      <w:rFonts w:ascii="Arial" w:hAnsi="Arial" w:eastAsia="Arial" w:cs="Arial"/>
      <w:sz w:val="34"/>
    </w:rPr>
  </w:style>
  <w:style w:type="character" w:styleId="670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7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72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73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74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76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77">
    <w:name w:val="Title Char"/>
    <w:uiPriority w:val="10"/>
    <w:qFormat/>
    <w:rPr>
      <w:sz w:val="48"/>
      <w:szCs w:val="48"/>
    </w:rPr>
  </w:style>
  <w:style w:type="character" w:styleId="678">
    <w:name w:val="Subtitle Char"/>
    <w:uiPriority w:val="11"/>
    <w:qFormat/>
    <w:rPr>
      <w:sz w:val="24"/>
      <w:szCs w:val="24"/>
    </w:rPr>
  </w:style>
  <w:style w:type="character" w:styleId="679">
    <w:name w:val="Quote Char"/>
    <w:uiPriority w:val="29"/>
    <w:qFormat/>
    <w:rPr>
      <w:i/>
    </w:rPr>
  </w:style>
  <w:style w:type="character" w:styleId="680">
    <w:name w:val="Intense Quote Char"/>
    <w:uiPriority w:val="30"/>
    <w:qFormat/>
    <w:rPr>
      <w:i/>
    </w:rPr>
  </w:style>
  <w:style w:type="character" w:styleId="681">
    <w:name w:val="Header Char"/>
    <w:uiPriority w:val="99"/>
    <w:qFormat/>
  </w:style>
  <w:style w:type="character" w:styleId="682">
    <w:name w:val="Footer Char"/>
    <w:uiPriority w:val="99"/>
    <w:qFormat/>
  </w:style>
  <w:style w:type="character" w:styleId="683">
    <w:name w:val="Caption Char"/>
    <w:uiPriority w:val="99"/>
    <w:qFormat/>
  </w:style>
  <w:style w:type="character" w:styleId="684">
    <w:name w:val="Hyperlink"/>
    <w:uiPriority w:val="99"/>
    <w:unhideWhenUsed/>
    <w:rPr>
      <w:color w:val="0000ff" w:themeColor="hyperlink"/>
      <w:u w:val="single"/>
    </w:rPr>
  </w:style>
  <w:style w:type="character" w:styleId="685">
    <w:name w:val="Footnote Text Char"/>
    <w:uiPriority w:val="99"/>
    <w:qFormat/>
    <w:rPr>
      <w:sz w:val="18"/>
    </w:rPr>
  </w:style>
  <w:style w:type="character" w:styleId="686">
    <w:name w:val="Символ сноски"/>
    <w:uiPriority w:val="99"/>
    <w:unhideWhenUsed/>
    <w:qFormat/>
    <w:rPr>
      <w:vertAlign w:val="superscript"/>
    </w:rPr>
  </w:style>
  <w:style w:type="character" w:styleId="687">
    <w:name w:val="footnote reference"/>
    <w:rPr>
      <w:vertAlign w:val="superscript"/>
    </w:rPr>
  </w:style>
  <w:style w:type="character" w:styleId="688">
    <w:name w:val="Endnote Text Char"/>
    <w:uiPriority w:val="99"/>
    <w:qFormat/>
    <w:rPr>
      <w:sz w:val="20"/>
    </w:rPr>
  </w:style>
  <w:style w:type="character" w:styleId="68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90">
    <w:name w:val="endnote reference"/>
    <w:rPr>
      <w:vertAlign w:val="superscript"/>
    </w:rPr>
  </w:style>
  <w:style w:type="character" w:styleId="691">
    <w:name w:val="Основной шрифт абзаца"/>
    <w:uiPriority w:val="1"/>
    <w:semiHidden/>
    <w:unhideWhenUsed/>
    <w:qFormat/>
  </w:style>
  <w:style w:type="character" w:styleId="692">
    <w:name w:val="Заголовок 1 Знак"/>
    <w:uiPriority w:val="9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693">
    <w:name w:val="Заголовок 2 Знак"/>
    <w:uiPriority w:val="9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694">
    <w:name w:val="Заголовок 3 Знак"/>
    <w:uiPriority w:val="9"/>
    <w:semiHidden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695">
    <w:name w:val="Заголовок 4 Знак"/>
    <w:uiPriority w:val="9"/>
    <w:semiHidden/>
    <w:qFormat/>
    <w:rPr>
      <w:rFonts w:ascii="Calibri" w:hAnsi="Calibri" w:eastAsia="Times New Roman" w:cs="Times New Roman"/>
      <w:b/>
      <w:bCs/>
      <w:sz w:val="28"/>
      <w:szCs w:val="28"/>
    </w:rPr>
  </w:style>
  <w:style w:type="character" w:styleId="696">
    <w:name w:val="Заголовок 5 Знак"/>
    <w:uiPriority w:val="9"/>
    <w:semiHidden/>
    <w:qFormat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697">
    <w:name w:val="Заголовок 6 Знак"/>
    <w:uiPriority w:val="9"/>
    <w:semiHidden/>
    <w:qFormat/>
    <w:rPr>
      <w:rFonts w:ascii="Calibri" w:hAnsi="Calibri" w:eastAsia="Times New Roman" w:cs="Times New Roman"/>
      <w:b/>
      <w:bCs/>
    </w:rPr>
  </w:style>
  <w:style w:type="character" w:styleId="698">
    <w:name w:val="Заголовок 7 Знак"/>
    <w:uiPriority w:val="9"/>
    <w:semiHidden/>
    <w:qFormat/>
    <w:rPr>
      <w:rFonts w:ascii="Calibri" w:hAnsi="Calibri" w:eastAsia="Times New Roman" w:cs="Times New Roman"/>
      <w:sz w:val="24"/>
      <w:szCs w:val="24"/>
    </w:rPr>
  </w:style>
  <w:style w:type="character" w:styleId="699">
    <w:name w:val="Заголовок 8 Знак"/>
    <w:uiPriority w:val="9"/>
    <w:semiHidden/>
    <w:qFormat/>
    <w:rPr>
      <w:rFonts w:ascii="Calibri" w:hAnsi="Calibri" w:eastAsia="Times New Roman" w:cs="Times New Roman"/>
      <w:i/>
      <w:iCs/>
      <w:sz w:val="24"/>
      <w:szCs w:val="24"/>
    </w:rPr>
  </w:style>
  <w:style w:type="character" w:styleId="700">
    <w:name w:val="Заголовок 9 Знак"/>
    <w:uiPriority w:val="9"/>
    <w:semiHidden/>
    <w:qFormat/>
    <w:rPr>
      <w:rFonts w:ascii="Cambria" w:hAnsi="Cambria" w:eastAsia="Times New Roman" w:cs="Times New Roman"/>
    </w:rPr>
  </w:style>
  <w:style w:type="character" w:styleId="701">
    <w:name w:val="Основной текст с отступом Знак"/>
    <w:uiPriority w:val="99"/>
    <w:semiHidden/>
    <w:qFormat/>
    <w:rPr>
      <w:rFonts w:cs="Times New Roman"/>
      <w:sz w:val="20"/>
      <w:szCs w:val="20"/>
    </w:rPr>
  </w:style>
  <w:style w:type="character" w:styleId="702">
    <w:name w:val="Основной текст 2 Знак"/>
    <w:uiPriority w:val="99"/>
    <w:semiHidden/>
    <w:qFormat/>
    <w:rPr>
      <w:rFonts w:cs="Times New Roman"/>
      <w:sz w:val="20"/>
      <w:szCs w:val="20"/>
    </w:rPr>
  </w:style>
  <w:style w:type="character" w:styleId="703">
    <w:name w:val="Нижний колонтитул Знак"/>
    <w:uiPriority w:val="99"/>
    <w:semiHidden/>
    <w:qFormat/>
    <w:rPr>
      <w:rFonts w:cs="Times New Roman"/>
      <w:sz w:val="20"/>
      <w:szCs w:val="20"/>
    </w:rPr>
  </w:style>
  <w:style w:type="character" w:styleId="704">
    <w:name w:val="Page Number"/>
    <w:uiPriority w:val="99"/>
    <w:rPr>
      <w:rFonts w:cs="Times New Roman"/>
    </w:rPr>
  </w:style>
  <w:style w:type="character" w:styleId="705">
    <w:name w:val="Верхний колонтитул Знак"/>
    <w:uiPriority w:val="99"/>
    <w:semiHidden/>
    <w:qFormat/>
    <w:rPr>
      <w:rFonts w:cs="Times New Roman"/>
      <w:sz w:val="20"/>
      <w:szCs w:val="20"/>
    </w:rPr>
  </w:style>
  <w:style w:type="character" w:styleId="706">
    <w:name w:val="Текст Знак"/>
    <w:uiPriority w:val="99"/>
    <w:semiHidden/>
    <w:qFormat/>
    <w:rPr>
      <w:rFonts w:ascii="Courier New" w:hAnsi="Courier New" w:cs="Courier New"/>
      <w:sz w:val="20"/>
      <w:szCs w:val="20"/>
    </w:rPr>
  </w:style>
  <w:style w:type="character" w:styleId="707">
    <w:name w:val="Название Знак"/>
    <w:uiPriority w:val="10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708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character" w:styleId="709">
    <w:name w:val="Знак примечания"/>
    <w:uiPriority w:val="99"/>
    <w:semiHidden/>
    <w:unhideWhenUsed/>
    <w:qFormat/>
    <w:rPr>
      <w:sz w:val="16"/>
      <w:szCs w:val="16"/>
    </w:rPr>
  </w:style>
  <w:style w:type="character" w:styleId="710">
    <w:name w:val="Текст примечания Знак"/>
    <w:uiPriority w:val="99"/>
    <w:semiHidden/>
    <w:qFormat/>
    <w:rPr>
      <w:sz w:val="20"/>
      <w:szCs w:val="20"/>
    </w:rPr>
  </w:style>
  <w:style w:type="character" w:styleId="711">
    <w:name w:val="Тема примечания Знак"/>
    <w:uiPriority w:val="99"/>
    <w:semiHidden/>
    <w:qFormat/>
    <w:rPr>
      <w:b/>
      <w:bCs/>
      <w:sz w:val="20"/>
      <w:szCs w:val="20"/>
    </w:rPr>
  </w:style>
  <w:style w:type="character" w:styleId="712" w:default="1">
    <w:name w:val="Default Paragraph Font"/>
    <w:uiPriority w:val="1"/>
    <w:semiHidden/>
    <w:unhideWhenUsed/>
    <w:qFormat/>
  </w:style>
  <w:style w:type="character" w:styleId="713">
    <w:name w:val="Line Number"/>
  </w:style>
  <w:style w:type="paragraph" w:styleId="714">
    <w:name w:val="Заголовок"/>
    <w:basedOn w:val="658"/>
    <w:next w:val="715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715">
    <w:name w:val="Body Text"/>
    <w:basedOn w:val="658"/>
    <w:pPr>
      <w:spacing w:before="0" w:after="140" w:line="276" w:lineRule="auto"/>
    </w:pPr>
  </w:style>
  <w:style w:type="paragraph" w:styleId="716">
    <w:name w:val="List"/>
    <w:basedOn w:val="715"/>
    <w:rPr>
      <w:rFonts w:cs="Lohit Devanagari"/>
    </w:rPr>
  </w:style>
  <w:style w:type="paragraph" w:styleId="717">
    <w:name w:val="Caption"/>
    <w:basedOn w:val="658"/>
    <w:uiPriority w:val="99"/>
    <w:qFormat/>
    <w:pPr>
      <w:jc w:val="center"/>
    </w:pPr>
    <w:rPr>
      <w:b/>
      <w:bCs/>
      <w:sz w:val="22"/>
      <w:szCs w:val="22"/>
    </w:rPr>
  </w:style>
  <w:style w:type="paragraph" w:styleId="718">
    <w:name w:val="Указатель"/>
    <w:basedOn w:val="658"/>
    <w:qFormat/>
    <w:pPr>
      <w:suppressLineNumbers/>
    </w:pPr>
    <w:rPr>
      <w:rFonts w:cs="Lohit Devanagari"/>
    </w:rPr>
  </w:style>
  <w:style w:type="paragraph" w:styleId="719">
    <w:name w:val="List Paragraph"/>
    <w:basedOn w:val="658"/>
    <w:uiPriority w:val="34"/>
    <w:qFormat/>
    <w:pPr>
      <w:spacing w:before="0" w:after="0"/>
      <w:ind w:left="720"/>
      <w:contextualSpacing/>
    </w:pPr>
  </w:style>
  <w:style w:type="paragraph" w:styleId="720">
    <w:name w:val="No Spacing"/>
    <w:uiPriority w:val="1"/>
    <w:qFormat/>
    <w:pPr>
      <w:widowControl/>
      <w:spacing w:before="0" w:after="0" w:line="240" w:lineRule="auto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721">
    <w:name w:val="Title"/>
    <w:basedOn w:val="658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722">
    <w:name w:val="Subtitle"/>
    <w:basedOn w:val="658"/>
    <w:uiPriority w:val="11"/>
    <w:qFormat/>
    <w:pPr>
      <w:spacing w:before="200" w:after="200"/>
    </w:pPr>
    <w:rPr>
      <w:sz w:val="24"/>
      <w:szCs w:val="24"/>
    </w:rPr>
  </w:style>
  <w:style w:type="paragraph" w:styleId="723">
    <w:name w:val="Quote"/>
    <w:basedOn w:val="658"/>
    <w:uiPriority w:val="29"/>
    <w:qFormat/>
    <w:pPr>
      <w:ind w:left="720" w:right="720"/>
    </w:pPr>
    <w:rPr>
      <w:i/>
    </w:rPr>
  </w:style>
  <w:style w:type="paragraph" w:styleId="724">
    <w:name w:val="Intense Quote"/>
    <w:basedOn w:val="65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/>
    </w:pPr>
    <w:rPr>
      <w:i/>
    </w:rPr>
  </w:style>
  <w:style w:type="paragraph" w:styleId="725">
    <w:name w:val="Колонтитул"/>
    <w:basedOn w:val="658"/>
    <w:qFormat/>
  </w:style>
  <w:style w:type="paragraph" w:styleId="726">
    <w:name w:val="Header"/>
    <w:basedOn w:val="658"/>
    <w:uiPriority w:val="99"/>
    <w:pPr>
      <w:tabs>
        <w:tab w:val="clear" w:pos="720" w:leader="none"/>
        <w:tab w:val="center" w:pos="4153" w:leader="none"/>
        <w:tab w:val="right" w:pos="8306" w:leader="none"/>
      </w:tabs>
    </w:pPr>
  </w:style>
  <w:style w:type="paragraph" w:styleId="727">
    <w:name w:val="Footer"/>
    <w:basedOn w:val="658"/>
    <w:uiPriority w:val="99"/>
    <w:pPr>
      <w:tabs>
        <w:tab w:val="clear" w:pos="720" w:leader="none"/>
        <w:tab w:val="center" w:pos="4153" w:leader="none"/>
        <w:tab w:val="right" w:pos="8306" w:leader="none"/>
      </w:tabs>
    </w:pPr>
  </w:style>
  <w:style w:type="paragraph" w:styleId="728">
    <w:name w:val="footnote text"/>
    <w:basedOn w:val="658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29">
    <w:name w:val="endnote text"/>
    <w:basedOn w:val="658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30">
    <w:name w:val="toc 1"/>
    <w:basedOn w:val="658"/>
    <w:uiPriority w:val="39"/>
    <w:unhideWhenUsed/>
    <w:pPr>
      <w:spacing w:before="0" w:after="57"/>
      <w:ind w:left="0" w:right="0" w:firstLine="0"/>
    </w:pPr>
  </w:style>
  <w:style w:type="paragraph" w:styleId="731">
    <w:name w:val="toc 2"/>
    <w:basedOn w:val="658"/>
    <w:uiPriority w:val="39"/>
    <w:unhideWhenUsed/>
    <w:pPr>
      <w:spacing w:before="0" w:after="57"/>
      <w:ind w:left="283" w:right="0" w:firstLine="0"/>
    </w:pPr>
  </w:style>
  <w:style w:type="paragraph" w:styleId="732">
    <w:name w:val="toc 3"/>
    <w:basedOn w:val="658"/>
    <w:uiPriority w:val="39"/>
    <w:unhideWhenUsed/>
    <w:pPr>
      <w:spacing w:before="0" w:after="57"/>
      <w:ind w:left="567" w:right="0" w:firstLine="0"/>
    </w:pPr>
  </w:style>
  <w:style w:type="paragraph" w:styleId="733">
    <w:name w:val="toc 4"/>
    <w:basedOn w:val="658"/>
    <w:uiPriority w:val="39"/>
    <w:unhideWhenUsed/>
    <w:pPr>
      <w:spacing w:before="0" w:after="57"/>
      <w:ind w:left="850" w:right="0" w:firstLine="0"/>
    </w:pPr>
  </w:style>
  <w:style w:type="paragraph" w:styleId="734">
    <w:name w:val="toc 5"/>
    <w:basedOn w:val="658"/>
    <w:uiPriority w:val="39"/>
    <w:unhideWhenUsed/>
    <w:pPr>
      <w:spacing w:before="0" w:after="57"/>
      <w:ind w:left="1134" w:right="0" w:firstLine="0"/>
    </w:pPr>
  </w:style>
  <w:style w:type="paragraph" w:styleId="735">
    <w:name w:val="toc 6"/>
    <w:basedOn w:val="658"/>
    <w:uiPriority w:val="39"/>
    <w:unhideWhenUsed/>
    <w:pPr>
      <w:spacing w:before="0" w:after="57"/>
      <w:ind w:left="1417" w:right="0" w:firstLine="0"/>
    </w:pPr>
  </w:style>
  <w:style w:type="paragraph" w:styleId="736">
    <w:name w:val="toc 7"/>
    <w:basedOn w:val="658"/>
    <w:uiPriority w:val="39"/>
    <w:unhideWhenUsed/>
    <w:pPr>
      <w:spacing w:before="0" w:after="57"/>
      <w:ind w:left="1701" w:right="0" w:firstLine="0"/>
    </w:pPr>
  </w:style>
  <w:style w:type="paragraph" w:styleId="737">
    <w:name w:val="toc 8"/>
    <w:basedOn w:val="658"/>
    <w:uiPriority w:val="39"/>
    <w:unhideWhenUsed/>
    <w:pPr>
      <w:spacing w:before="0" w:after="57"/>
      <w:ind w:left="1984" w:right="0" w:firstLine="0"/>
    </w:pPr>
  </w:style>
  <w:style w:type="paragraph" w:styleId="738">
    <w:name w:val="toc 9"/>
    <w:basedOn w:val="658"/>
    <w:uiPriority w:val="39"/>
    <w:unhideWhenUsed/>
    <w:pPr>
      <w:spacing w:before="0" w:after="57"/>
      <w:ind w:left="2268" w:right="0" w:firstLine="0"/>
    </w:pPr>
  </w:style>
  <w:style w:type="paragraph" w:styleId="739">
    <w:name w:val="Index Heading"/>
    <w:basedOn w:val="714"/>
  </w:style>
  <w:style w:type="paragraph" w:styleId="740">
    <w:name w:val="TOC Heading"/>
    <w:uiPriority w:val="39"/>
    <w:unhideWhenUsed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741">
    <w:name w:val="table of figures"/>
    <w:basedOn w:val="658"/>
    <w:uiPriority w:val="99"/>
    <w:unhideWhenUsed/>
    <w:pPr>
      <w:spacing w:before="0" w:after="0" w:afterAutospacing="0"/>
    </w:pPr>
  </w:style>
  <w:style w:type="paragraph" w:styleId="742">
    <w:name w:val="Body Text Indent"/>
    <w:basedOn w:val="658"/>
    <w:uiPriority w:val="99"/>
    <w:pPr>
      <w:shd w:val="clear" w:color="auto" w:fill="ffffff"/>
      <w:ind w:left="13183"/>
    </w:pPr>
    <w:rPr>
      <w:color w:val="000000"/>
      <w:sz w:val="18"/>
      <w:szCs w:val="18"/>
    </w:rPr>
  </w:style>
  <w:style w:type="paragraph" w:styleId="743">
    <w:name w:val="Основной текст 2"/>
    <w:basedOn w:val="658"/>
    <w:uiPriority w:val="99"/>
    <w:qFormat/>
    <w:pPr>
      <w:widowControl w:val="off"/>
      <w:shd w:val="clear" w:color="auto" w:fill="ffffff"/>
    </w:pPr>
    <w:rPr>
      <w:color w:val="000000"/>
      <w:spacing w:val="-10"/>
      <w:sz w:val="25"/>
      <w:szCs w:val="25"/>
    </w:rPr>
  </w:style>
  <w:style w:type="paragraph" w:styleId="744">
    <w:name w:val="Текст"/>
    <w:basedOn w:val="658"/>
    <w:uiPriority w:val="99"/>
    <w:qFormat/>
    <w:rPr>
      <w:rFonts w:ascii="Courier New" w:hAnsi="Courier New" w:cs="Courier New"/>
    </w:rPr>
  </w:style>
  <w:style w:type="paragraph" w:styleId="745">
    <w:name w:val="Текст выноски"/>
    <w:basedOn w:val="658"/>
    <w:uiPriority w:val="99"/>
    <w:semiHidden/>
    <w:qFormat/>
    <w:rPr>
      <w:rFonts w:ascii="Tahoma" w:hAnsi="Tahoma" w:cs="Tahoma"/>
      <w:sz w:val="16"/>
      <w:szCs w:val="16"/>
    </w:rPr>
  </w:style>
  <w:style w:type="paragraph" w:styleId="746">
    <w:name w:val="Без интервала"/>
    <w:uiPriority w:val="1"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ru-RU" w:bidi="ar-SA"/>
    </w:rPr>
  </w:style>
  <w:style w:type="paragraph" w:styleId="747">
    <w:name w:val="Текст примечания"/>
    <w:basedOn w:val="658"/>
    <w:uiPriority w:val="99"/>
    <w:semiHidden/>
    <w:unhideWhenUsed/>
    <w:qFormat/>
  </w:style>
  <w:style w:type="paragraph" w:styleId="748">
    <w:name w:val="Тема примечания"/>
    <w:basedOn w:val="747"/>
    <w:uiPriority w:val="99"/>
    <w:semiHidden/>
    <w:unhideWhenUsed/>
    <w:qFormat/>
    <w:rPr>
      <w:b/>
      <w:bCs/>
    </w:rPr>
  </w:style>
  <w:style w:type="paragraph" w:styleId="749">
    <w:name w:val="Содержимое врезки"/>
    <w:basedOn w:val="658"/>
    <w:qFormat/>
  </w:style>
  <w:style w:type="numbering" w:styleId="750">
    <w:name w:val="Нет списка"/>
    <w:uiPriority w:val="99"/>
    <w:semiHidden/>
    <w:unhideWhenUsed/>
    <w:qFormat/>
  </w:style>
  <w:style w:type="numbering" w:styleId="751" w:default="1">
    <w:name w:val="No List"/>
    <w:uiPriority w:val="99"/>
    <w:semiHidden/>
    <w:unhideWhenUsed/>
    <w:qFormat/>
  </w:style>
  <w:style w:type="table" w:styleId="752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55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56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57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58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9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6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7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8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9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0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1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2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3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4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5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6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7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8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9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0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81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ce6f1" w:themeFill="accent1" w:themeFillTint="32"/>
      </w:tcPr>
    </w:tblStylePr>
    <w:tblStylePr w:type="band1Vert">
      <w:rPr>
        <w:sz w:val="22"/>
      </w:rPr>
      <w:tcPr>
        <w:shd w:val="clear" w:color="ffffff" w:fill="dce6f1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783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784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785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786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787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8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8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9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9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9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9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94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9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3e70a3" w:themeColor="accent1" w:themeTint="80" w:themeShade="95"/>
        <w:sz w:val="22"/>
      </w:rPr>
    </w:tblStylePr>
  </w:style>
  <w:style w:type="table" w:styleId="79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79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5c702f" w:themeColor="accent3" w:themeTint="FE" w:themeShade="95"/>
        <w:sz w:val="22"/>
      </w:rPr>
    </w:tblStylePr>
  </w:style>
  <w:style w:type="table" w:styleId="79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79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80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801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8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16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17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18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19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20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21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22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3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4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5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6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7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1cd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8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9bf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9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0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1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2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3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4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5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6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3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4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4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4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4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4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50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5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</w:tblStylePr>
  </w:style>
  <w:style w:type="table" w:styleId="85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5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5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5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5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57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58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59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60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61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62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63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64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65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66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67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68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69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70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71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72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3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74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75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76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77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7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Energosbyt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Приложение№1</dc:title>
  <dc:subject/>
  <dc:creator>Iluhina</dc:creator>
  <dc:description/>
  <dc:language>ru-RU</dc:language>
  <cp:revision>13</cp:revision>
  <dcterms:created xsi:type="dcterms:W3CDTF">2021-07-21T08:38:00Z</dcterms:created>
  <dcterms:modified xsi:type="dcterms:W3CDTF">2025-09-15T13:14:29Z</dcterms:modified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